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1">
      <w:pPr>
        <w:contextualSpacing w:val="0"/>
        <w:jc w:val="center"/>
        <w:rPr>
          <w:rFonts w:ascii="Arial Narrow" w:cs="Arial Narrow" w:eastAsia="Arial Narrow" w:hAnsi="Arial Narrow"/>
          <w:color w:val="212121"/>
        </w:rPr>
      </w:pPr>
      <w:r w:rsidDel="00000000" w:rsidR="00000000" w:rsidRPr="00000000">
        <w:rPr>
          <w:rFonts w:ascii="Arial Narrow" w:cs="Arial Narrow" w:eastAsia="Arial Narrow" w:hAnsi="Arial Narrow"/>
          <w:b w:val="1"/>
          <w:color w:val="262626"/>
          <w:sz w:val="36"/>
          <w:szCs w:val="36"/>
          <w:highlight w:val="white"/>
          <w:rtl w:val="0"/>
        </w:rPr>
        <w:t xml:space="preserve">Innovación, el ingrediente que América Latina necesita para aumentar la</w:t>
      </w:r>
      <w:r w:rsidDel="00000000" w:rsidR="00000000" w:rsidRPr="00000000">
        <w:rPr>
          <w:rFonts w:ascii="Arial Narrow" w:cs="Arial Narrow" w:eastAsia="Arial Narrow" w:hAnsi="Arial Narrow"/>
          <w:color w:val="262626"/>
          <w:highlight w:val="white"/>
          <w:rtl w:val="0"/>
        </w:rPr>
        <w:t xml:space="preserve"> </w:t>
      </w:r>
      <w:r w:rsidDel="00000000" w:rsidR="00000000" w:rsidRPr="00000000">
        <w:rPr>
          <w:rFonts w:ascii="Arial Narrow" w:cs="Arial Narrow" w:eastAsia="Arial Narrow" w:hAnsi="Arial Narrow"/>
          <w:b w:val="1"/>
          <w:color w:val="262626"/>
          <w:sz w:val="36"/>
          <w:szCs w:val="36"/>
          <w:highlight w:val="white"/>
          <w:rtl w:val="0"/>
        </w:rPr>
        <w:t xml:space="preserve">productividad</w:t>
      </w:r>
      <w:r w:rsidDel="00000000" w:rsidR="00000000" w:rsidRPr="00000000">
        <w:rPr>
          <w:rtl w:val="0"/>
        </w:rPr>
      </w:r>
    </w:p>
    <w:p w:rsidR="00000000" w:rsidDel="00000000" w:rsidP="00000000" w:rsidRDefault="00000000" w:rsidRPr="00000000" w14:paraId="00000002">
      <w:pPr>
        <w:contextualSpacing w:val="0"/>
        <w:jc w:val="both"/>
        <w:rPr>
          <w:rFonts w:ascii="Arial Narrow" w:cs="Arial Narrow" w:eastAsia="Arial Narrow" w:hAnsi="Arial Narrow"/>
          <w:i w:val="1"/>
          <w:color w:val="212121"/>
          <w:sz w:val="24"/>
          <w:szCs w:val="24"/>
          <w:highlight w:val="white"/>
        </w:rPr>
      </w:pPr>
      <w:r w:rsidDel="00000000" w:rsidR="00000000" w:rsidRPr="00000000">
        <w:rPr>
          <w:rFonts w:ascii="Arial Narrow" w:cs="Arial Narrow" w:eastAsia="Arial Narrow" w:hAnsi="Arial Narrow"/>
          <w:i w:val="1"/>
          <w:color w:val="212121"/>
          <w:sz w:val="24"/>
          <w:szCs w:val="24"/>
          <w:highlight w:val="white"/>
          <w:rtl w:val="0"/>
        </w:rPr>
        <w:t xml:space="preserve">Expertos globales reunidos en la Conferencia CAF de Bogotá coincidieron en que América Latina tiene que innovar más para poder aumentar la productividad, y para ello se requieren consensos provenientes de todos los sectores, desde gobiernos hasta academia y empresas.</w:t>
      </w:r>
    </w:p>
    <w:p w:rsidR="00000000" w:rsidDel="00000000" w:rsidP="00000000" w:rsidRDefault="00000000" w:rsidRPr="00000000" w14:paraId="00000003">
      <w:pPr>
        <w:contextualSpacing w:val="0"/>
        <w:jc w:val="both"/>
        <w:rPr>
          <w:rFonts w:ascii="Arial Narrow" w:cs="Arial Narrow" w:eastAsia="Arial Narrow" w:hAnsi="Arial Narrow"/>
          <w:color w:val="212121"/>
        </w:rPr>
      </w:pPr>
      <w:r w:rsidDel="00000000" w:rsidR="00000000" w:rsidRPr="00000000">
        <w:rPr>
          <w:rFonts w:ascii="Arial Narrow" w:cs="Arial Narrow" w:eastAsia="Arial Narrow" w:hAnsi="Arial Narrow"/>
          <w:i w:val="1"/>
          <w:color w:val="7f7f7f"/>
          <w:rtl w:val="0"/>
        </w:rPr>
        <w:t xml:space="preserve">(Ciudad de México, 9 de noviembre de </w:t>
      </w:r>
      <w:r w:rsidDel="00000000" w:rsidR="00000000" w:rsidRPr="00000000">
        <w:rPr>
          <w:rFonts w:ascii="Arial Narrow" w:cs="Arial Narrow" w:eastAsia="Arial Narrow" w:hAnsi="Arial Narrow"/>
          <w:i w:val="1"/>
          <w:color w:val="808080"/>
          <w:rtl w:val="0"/>
        </w:rPr>
        <w:t xml:space="preserve">2018</w:t>
      </w:r>
      <w:r w:rsidDel="00000000" w:rsidR="00000000" w:rsidRPr="00000000">
        <w:rPr>
          <w:rFonts w:ascii="Arial Narrow" w:cs="Arial Narrow" w:eastAsia="Arial Narrow" w:hAnsi="Arial Narrow"/>
          <w:i w:val="1"/>
          <w:color w:val="7f7f7f"/>
          <w:rtl w:val="0"/>
        </w:rPr>
        <w:t xml:space="preserv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color w:val="212121"/>
          <w:highlight w:val="white"/>
          <w:rtl w:val="0"/>
        </w:rPr>
        <w:t xml:space="preserve">La innovación es esencial para impulsar ecosistemas empresariales que contribuyan al aumento de la productividad y a un crecimiento sostenido a medio y largo plazo. Y para impulsarla, es necesario generar grandes consensos políticos que incluyan a todos los sectores sociales y que promuevan medidas eficientes e independientes de las coyunturas políticas de los países. Estas son las principales conclusiones de la segunda jornada de la Conferencia CAF, que reunió en Bogotá a más de 500 expertos para debatir cómo puede América Latina mejorar sus niveles de productividad y, con ello, lograr un crecimiento inclusivo y sostenido.</w:t>
      </w:r>
      <w:r w:rsidDel="00000000" w:rsidR="00000000" w:rsidRPr="00000000">
        <w:rPr>
          <w:rFonts w:ascii="Arial Narrow" w:cs="Arial Narrow" w:eastAsia="Arial Narrow" w:hAnsi="Arial Narrow"/>
          <w:color w:val="212121"/>
          <w:rtl w:val="0"/>
        </w:rPr>
        <w:t xml:space="preserve"> </w:t>
      </w:r>
    </w:p>
    <w:p w:rsidR="00000000" w:rsidDel="00000000" w:rsidP="00000000" w:rsidRDefault="00000000" w:rsidRPr="00000000" w14:paraId="00000004">
      <w:pPr>
        <w:contextualSpacing w:val="0"/>
        <w:jc w:val="both"/>
        <w:rPr>
          <w:rFonts w:ascii="Arial Narrow" w:cs="Arial Narrow" w:eastAsia="Arial Narrow" w:hAnsi="Arial Narrow"/>
          <w:color w:val="212121"/>
        </w:rPr>
      </w:pPr>
      <w:r w:rsidDel="00000000" w:rsidR="00000000" w:rsidRPr="00000000">
        <w:rPr>
          <w:rFonts w:ascii="Arial Narrow" w:cs="Arial Narrow" w:eastAsia="Arial Narrow" w:hAnsi="Arial Narrow"/>
          <w:color w:val="212121"/>
          <w:highlight w:val="white"/>
          <w:rtl w:val="0"/>
        </w:rPr>
        <w:t xml:space="preserve">Los principales focos del debate giraron en torno al papel que empresas, gobiernos y academia deberían jugar para incentivar procesos de innovación permanentes. Para Rosario Córdoba, Presidenta del Consejo Privado de Competitividad de Colombia, es necesario convencer a las empresas de que la innovación es el camino, aunque reconoció que en ocasiones los ecosistemas no favorecen que se dé todo lo que tiene que darse para que la innovación se instale en procesos sistemáticos.</w:t>
      </w:r>
      <w:r w:rsidDel="00000000" w:rsidR="00000000" w:rsidRPr="00000000">
        <w:rPr>
          <w:rtl w:val="0"/>
        </w:rPr>
      </w:r>
    </w:p>
    <w:p w:rsidR="00000000" w:rsidDel="00000000" w:rsidP="00000000" w:rsidRDefault="00000000" w:rsidRPr="00000000" w14:paraId="00000005">
      <w:pPr>
        <w:contextualSpacing w:val="0"/>
        <w:jc w:val="both"/>
        <w:rPr>
          <w:rFonts w:ascii="Arial Narrow" w:cs="Arial Narrow" w:eastAsia="Arial Narrow" w:hAnsi="Arial Narrow"/>
          <w:color w:val="212121"/>
        </w:rPr>
      </w:pPr>
      <w:r w:rsidDel="00000000" w:rsidR="00000000" w:rsidRPr="00000000">
        <w:rPr>
          <w:rFonts w:ascii="Arial Narrow" w:cs="Arial Narrow" w:eastAsia="Arial Narrow" w:hAnsi="Arial Narrow"/>
          <w:color w:val="212121"/>
          <w:highlight w:val="white"/>
          <w:rtl w:val="0"/>
        </w:rPr>
        <w:t xml:space="preserve">Por su parte, Stuart Martin, Presidente de Catapult Satelite Applications, destacó la importancia de gestionar eficientemente el conocimiento científico disponible para desatar procesos innovadores que sean viables. “Cuando la innovación y el conocimiento trabajan juntos el impacto puede ser muy positivo”, aseguró.</w:t>
      </w:r>
      <w:r w:rsidDel="00000000" w:rsidR="00000000" w:rsidRPr="00000000">
        <w:rPr>
          <w:rtl w:val="0"/>
        </w:rPr>
      </w:r>
    </w:p>
    <w:p w:rsidR="00000000" w:rsidDel="00000000" w:rsidP="00000000" w:rsidRDefault="00000000" w:rsidRPr="00000000" w14:paraId="00000006">
      <w:pPr>
        <w:contextualSpacing w:val="0"/>
        <w:jc w:val="both"/>
        <w:rPr>
          <w:rFonts w:ascii="Arial Narrow" w:cs="Arial Narrow" w:eastAsia="Arial Narrow" w:hAnsi="Arial Narrow"/>
          <w:color w:val="212121"/>
        </w:rPr>
      </w:pPr>
      <w:bookmarkStart w:colFirst="0" w:colLast="0" w:name="_gjdgxs" w:id="0"/>
      <w:bookmarkEnd w:id="0"/>
      <w:r w:rsidDel="00000000" w:rsidR="00000000" w:rsidRPr="00000000">
        <w:rPr>
          <w:rFonts w:ascii="Arial Narrow" w:cs="Arial Narrow" w:eastAsia="Arial Narrow" w:hAnsi="Arial Narrow"/>
          <w:color w:val="212121"/>
          <w:highlight w:val="white"/>
          <w:rtl w:val="0"/>
        </w:rPr>
        <w:t xml:space="preserve">Los expertos también coincidieron en que los países de la región deben trabajan en generar los consensos necesarios </w:t>
      </w:r>
      <w:r w:rsidDel="00000000" w:rsidR="00000000" w:rsidRPr="00000000">
        <w:rPr>
          <w:rFonts w:ascii="Arial Narrow" w:cs="Arial Narrow" w:eastAsia="Arial Narrow" w:hAnsi="Arial Narrow"/>
          <w:color w:val="212121"/>
          <w:rtl w:val="0"/>
        </w:rPr>
        <w:t xml:space="preserve">para crear agendas permanentes </w:t>
      </w:r>
      <w:r w:rsidDel="00000000" w:rsidR="00000000" w:rsidRPr="00000000">
        <w:rPr>
          <w:rFonts w:ascii="Arial Narrow" w:cs="Arial Narrow" w:eastAsia="Arial Narrow" w:hAnsi="Arial Narrow"/>
          <w:color w:val="212121"/>
          <w:highlight w:val="white"/>
          <w:rtl w:val="0"/>
        </w:rPr>
        <w:t xml:space="preserve">que derive en acuerdos de todos los actores sociales, políticos y económicos. “Para aumentar la productividad también se requieren transformaciones políticas. Los insumos del sector público tienen que venir en forma de infraestructura, regulación, capacitación y coordinación de las iniciativas”, dijo Michael Reid, columnista en The Economist.</w:t>
      </w:r>
      <w:r w:rsidDel="00000000" w:rsidR="00000000" w:rsidRPr="00000000">
        <w:rPr>
          <w:rtl w:val="0"/>
        </w:rPr>
      </w:r>
    </w:p>
    <w:p w:rsidR="00000000" w:rsidDel="00000000" w:rsidP="00000000" w:rsidRDefault="00000000" w:rsidRPr="00000000" w14:paraId="00000007">
      <w:pPr>
        <w:contextualSpacing w:val="0"/>
        <w:jc w:val="both"/>
        <w:rPr>
          <w:rFonts w:ascii="Arial Narrow" w:cs="Arial Narrow" w:eastAsia="Arial Narrow" w:hAnsi="Arial Narrow"/>
          <w:color w:val="212121"/>
        </w:rPr>
      </w:pPr>
      <w:r w:rsidDel="00000000" w:rsidR="00000000" w:rsidRPr="00000000">
        <w:rPr>
          <w:rFonts w:ascii="Arial Narrow" w:cs="Arial Narrow" w:eastAsia="Arial Narrow" w:hAnsi="Arial Narrow"/>
          <w:color w:val="212121"/>
          <w:highlight w:val="white"/>
          <w:rtl w:val="0"/>
        </w:rPr>
        <w:t xml:space="preserve">En este sentido, Lilia Aguilar Gil, ex Diputada Federal de México, señaló que la región necesita pactos horizontales, verticales y trasversales para generar estabilidad y productividad y lograr romper con la desconfianza que existe en del sector público. Ricardo Sennes, Socio Gerente de Prospectiva también abogó por crear una nueva agenda. “No solo una agenda con nuevo contenido sino con nuevas estrategia regionales de acciones que tenemos que hacer en el largo plazo y que involucren a todos los países”, dijo Sennes.</w:t>
      </w:r>
      <w:r w:rsidDel="00000000" w:rsidR="00000000" w:rsidRPr="00000000">
        <w:rPr>
          <w:rtl w:val="0"/>
        </w:rPr>
      </w:r>
    </w:p>
    <w:p w:rsidR="00000000" w:rsidDel="00000000" w:rsidP="00000000" w:rsidRDefault="00000000" w:rsidRPr="00000000" w14:paraId="00000008">
      <w:pPr>
        <w:contextualSpacing w:val="0"/>
        <w:jc w:val="both"/>
        <w:rPr>
          <w:rFonts w:ascii="Arial Narrow" w:cs="Arial Narrow" w:eastAsia="Arial Narrow" w:hAnsi="Arial Narrow"/>
          <w:color w:val="212121"/>
          <w:highlight w:val="white"/>
        </w:rPr>
      </w:pPr>
      <w:r w:rsidDel="00000000" w:rsidR="00000000" w:rsidRPr="00000000">
        <w:rPr>
          <w:rFonts w:ascii="Arial Narrow" w:cs="Arial Narrow" w:eastAsia="Arial Narrow" w:hAnsi="Arial Narrow"/>
          <w:color w:val="212121"/>
          <w:highlight w:val="white"/>
          <w:rtl w:val="0"/>
        </w:rPr>
        <w:t xml:space="preserve">Aunque la región tiene un largo camino por delante, existen varias experiencias exitosas que pueden inspirar a nuevas aventuras empresariales. Rocío Fonseca, gerente de innovación de CORFO, explicó que “a través de la creatividad e innovación se pueden lograr grandes cambios. Tenemos que tomar las buenas prácticas de las industrias creativas y trasladarlas a las tradicionales”.</w:t>
        <w:br w:type="textWrapping"/>
      </w:r>
    </w:p>
    <w:p w:rsidR="00000000" w:rsidDel="00000000" w:rsidP="00000000" w:rsidRDefault="00000000" w:rsidRPr="00000000" w14:paraId="00000009">
      <w:pPr>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25401</wp:posOffset>
                </wp:positionH>
                <wp:positionV relativeFrom="paragraph">
                  <wp:posOffset>533400</wp:posOffset>
                </wp:positionV>
                <wp:extent cx="5651500" cy="31750"/>
                <wp:effectExtent b="0" l="0" r="0" t="0"/>
                <wp:wrapNone/>
                <wp:docPr id="1" name=""/>
                <a:graphic>
                  <a:graphicData uri="http://schemas.microsoft.com/office/word/2010/wordprocessingShape">
                    <wps:wsp>
                      <wps:cNvSpPr/>
                      <wps:cNvPr id="2" name="Shape 2"/>
                      <wps:spPr>
                        <a:xfrm>
                          <a:off x="2526600" y="3770475"/>
                          <a:ext cx="5638800" cy="19050"/>
                        </a:xfrm>
                        <a:custGeom>
                          <a:rect b="b" l="l" r="r" t="t"/>
                          <a:pathLst>
                            <a:path extrusionOk="0" h="19050" w="5638800">
                              <a:moveTo>
                                <a:pt x="0" y="0"/>
                              </a:moveTo>
                              <a:lnTo>
                                <a:pt x="5638800" y="19050"/>
                              </a:lnTo>
                            </a:path>
                          </a:pathLst>
                        </a:custGeom>
                        <a:solidFill>
                          <a:srgbClr val="FFFFFF"/>
                        </a:solidFill>
                        <a:ln cap="rnd" cmpd="sng" w="12700">
                          <a:solidFill>
                            <a:srgbClr val="7F7F7F"/>
                          </a:solidFill>
                          <a:prstDash val="dashDot"/>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25401</wp:posOffset>
                </wp:positionH>
                <wp:positionV relativeFrom="paragraph">
                  <wp:posOffset>533400</wp:posOffset>
                </wp:positionV>
                <wp:extent cx="5651500" cy="317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51500" cy="31750"/>
                        </a:xfrm>
                        <a:prstGeom prst="rect"/>
                        <a:ln/>
                      </pic:spPr>
                    </pic:pic>
                  </a:graphicData>
                </a:graphic>
              </wp:anchor>
            </w:drawing>
          </mc:Fallback>
        </mc:AlternateContent>
      </w:r>
    </w:p>
    <w:p w:rsidR="00000000" w:rsidDel="00000000" w:rsidP="00000000" w:rsidRDefault="00000000" w:rsidRPr="00000000" w14:paraId="0000000A">
      <w:pPr>
        <w:spacing w:after="0" w:line="240" w:lineRule="auto"/>
        <w:contextualSpacing w:val="0"/>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8">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0B">
      <w:pPr>
        <w:spacing w:after="0" w:line="240" w:lineRule="auto"/>
        <w:contextualSpacing w:val="0"/>
        <w:jc w:val="both"/>
        <w:rPr>
          <w:sz w:val="16"/>
          <w:szCs w:val="16"/>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9">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0">
        <w:r w:rsidDel="00000000" w:rsidR="00000000" w:rsidRPr="00000000">
          <w:rPr>
            <w:rFonts w:ascii="Arial Narrow" w:cs="Arial Narrow" w:eastAsia="Arial Narrow" w:hAnsi="Arial Narrow"/>
            <w:color w:val="0563c1"/>
            <w:sz w:val="16"/>
            <w:szCs w:val="16"/>
            <w:u w:val="single"/>
            <w:rtl w:val="0"/>
          </w:rPr>
          <w:t xml:space="preserve">@AgendaCAF</w:t>
        </w:r>
      </w:hyperlink>
      <w:r w:rsidDel="00000000" w:rsidR="00000000" w:rsidRPr="00000000">
        <w:rPr>
          <w:rtl w:val="0"/>
        </w:rPr>
      </w:r>
    </w:p>
    <w:sectPr>
      <w:headerReference r:id="rId11"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Arial Narrow" w:cs="Arial Narrow" w:eastAsia="Arial Narrow" w:hAnsi="Arial Narrow"/>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5331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10" cy="43878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witter.com/AgendaCAF?lang=es" TargetMode="Externa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